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00" w:line="465" w:lineRule="auto"/>
        <w:ind w:right="100"/>
        <w:rPr>
          <w:b w:val="1"/>
          <w:color w:val="0000ff"/>
          <w:sz w:val="20"/>
          <w:szCs w:val="20"/>
        </w:rPr>
      </w:pP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 Читайте все свежие новости Авито на </w:t>
      </w:r>
      <w:hyperlink r:id="rId7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Avito.Live</w:t>
        </w:r>
      </w:hyperlink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13.08.2024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Авито Работа и LAB Industries: россияне экономят в среднем около 52 000 рублей благодаря возможностям обучения внутри компании</w:t>
      </w:r>
    </w:p>
    <w:p w:rsidR="00000000" w:rsidDel="00000000" w:rsidP="00000000" w:rsidRDefault="00000000" w:rsidRPr="00000000" w14:paraId="00000005">
      <w:pPr>
        <w:jc w:val="center"/>
        <w:rPr>
          <w:b w:val="1"/>
          <w:shd w:fill="edf2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highlight w:val="white"/>
          <w:rtl w:val="0"/>
        </w:rPr>
        <w:t xml:space="preserve">Авито Работа и LAB Industries провели исследование, посвященное карьерному росту и профессиональному развитию сотрудников в России. Авито Работа опросила более 7 000 работающих россиян, чтобы выяснить, какие инструменты карьерного развития доступны у них в компаниях и сколько собственных средств они сохранили за счет возможностей пройти корпоративное обучение. Опрос показал, что в среднем россиянам удалось сэкономить 52 403 рублей благодаря возможностям профессионального развития за счет компании. При этом 15% россиян рассказали, что меняли специализацию внутри компании.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highlight w:val="white"/>
          <w:rtl w:val="0"/>
        </w:rPr>
        <w:t xml:space="preserve">Каждый десятый респондент сэкономил от 40 001 до 60 000 рублей. 13% россиян сберегли от 10 001 до 25 000, и столько же — от 25 001 до 40 000 рублей.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i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По данным исследования, основными инструментами для карьерного роста и развития являются </w:t>
      </w:r>
      <w:r w:rsidDel="00000000" w:rsidR="00000000" w:rsidRPr="00000000">
        <w:rPr>
          <w:rtl w:val="0"/>
        </w:rPr>
        <w:t xml:space="preserve">внутренние тренинги и семинары (17%), регулярные оценки и обратная связь от руководства (17%)</w:t>
      </w:r>
      <w:r w:rsidDel="00000000" w:rsidR="00000000" w:rsidRPr="00000000">
        <w:rPr>
          <w:highlight w:val="white"/>
          <w:rtl w:val="0"/>
        </w:rPr>
        <w:t xml:space="preserve">, участие в профессиональных конференциях и форумах (15%), онлайн-платформы для самообучения (15%). 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735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120"/>
            <w:gridCol w:w="3615"/>
            <w:tblGridChange w:id="0">
              <w:tblGrid>
                <w:gridCol w:w="6120"/>
                <w:gridCol w:w="3615"/>
              </w:tblGrid>
            </w:tblGridChange>
          </w:tblGrid>
          <w:tr>
            <w:trPr>
              <w:cantSplit w:val="0"/>
              <w:trHeight w:val="1121.850585937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B">
                <w:pPr>
                  <w:spacing w:after="240" w:before="240" w:line="276" w:lineRule="auto"/>
                  <w:jc w:val="both"/>
                  <w:rPr>
                    <w:b w:val="1"/>
                    <w:highlight w:val="white"/>
                  </w:rPr>
                </w:pPr>
                <w:r w:rsidDel="00000000" w:rsidR="00000000" w:rsidRPr="00000000">
                  <w:rPr>
                    <w:b w:val="1"/>
                    <w:highlight w:val="white"/>
                    <w:rtl w:val="0"/>
                  </w:rPr>
                  <w:t xml:space="preserve">Инструменты для карьерного роста, которые доступны россиянам в их компаниях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C">
                <w:pPr>
                  <w:spacing w:line="276" w:lineRule="auto"/>
                  <w:jc w:val="both"/>
                  <w:rPr>
                    <w:b w:val="1"/>
                    <w:highlight w:val="white"/>
                  </w:rPr>
                </w:pPr>
                <w:r w:rsidDel="00000000" w:rsidR="00000000" w:rsidRPr="00000000">
                  <w:rPr>
                    <w:highlight w:val="white"/>
                  </w:rPr>
                  <w:drawing>
                    <wp:inline distB="114300" distT="114300" distL="114300" distR="114300">
                      <wp:extent cx="1748896" cy="401532"/>
                      <wp:effectExtent b="0" l="0" r="0" t="0"/>
                      <wp:docPr id="71" name="image1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jp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48896" cy="40153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D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13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820"/>
            <w:gridCol w:w="3315"/>
            <w:tblGridChange w:id="0">
              <w:tblGrid>
                <w:gridCol w:w="5820"/>
                <w:gridCol w:w="3315"/>
              </w:tblGrid>
            </w:tblGridChange>
          </w:tblGrid>
          <w:tr>
            <w:trPr>
              <w:cantSplit w:val="1"/>
              <w:tblHeader w:val="0"/>
            </w:trPr>
            <w:tc>
              <w:tcPr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jc w:val="center"/>
                  <w:rPr>
                    <w:b w:val="1"/>
                    <w:highlight w:val="white"/>
                  </w:rPr>
                </w:pPr>
                <w:r w:rsidDel="00000000" w:rsidR="00000000" w:rsidRPr="00000000">
                  <w:rPr>
                    <w:b w:val="1"/>
                    <w:highlight w:val="white"/>
                    <w:rtl w:val="0"/>
                  </w:rPr>
                  <w:t xml:space="preserve">Инструменты для карьерного роста и развития</w:t>
                </w:r>
              </w:p>
            </w:tc>
            <w:tc>
              <w:tcPr/>
              <w:p w:rsidR="00000000" w:rsidDel="00000000" w:rsidP="00000000" w:rsidRDefault="00000000" w:rsidRPr="00000000" w14:paraId="0000000F">
                <w:pPr>
                  <w:jc w:val="center"/>
                  <w:rPr>
                    <w:b w:val="1"/>
                    <w:highlight w:val="white"/>
                  </w:rPr>
                </w:pPr>
                <w:r w:rsidDel="00000000" w:rsidR="00000000" w:rsidRPr="00000000">
                  <w:rPr>
                    <w:b w:val="1"/>
                    <w:highlight w:val="white"/>
                    <w:rtl w:val="0"/>
                  </w:rPr>
                  <w:t xml:space="preserve">Доля ответов респондентов, назвавших инструменты, %</w:t>
                </w:r>
              </w:p>
            </w:tc>
          </w:tr>
          <w:tr>
            <w:trPr>
              <w:cantSplit w:val="1"/>
              <w:trHeight w:val="34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jc w:val="center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Регулярные оценки и обратная связь от руководства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jc w:val="center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17%</w:t>
                </w:r>
              </w:p>
            </w:tc>
          </w:tr>
          <w:tr>
            <w:trPr>
              <w:cantSplit w:val="1"/>
              <w:trHeight w:val="462.97851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jc w:val="center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Внутренние тренинги и семинары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jc w:val="center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17%</w:t>
                </w:r>
              </w:p>
            </w:tc>
          </w:tr>
          <w:tr>
            <w:trPr>
              <w:cantSplit w:val="1"/>
              <w:trHeight w:val="462.97851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jc w:val="center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Участие в профессиональных конференциях и форумах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jc w:val="center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15%</w:t>
                </w:r>
              </w:p>
            </w:tc>
          </w:tr>
          <w:tr>
            <w:trPr>
              <w:cantSplit w:val="1"/>
              <w:trHeight w:val="462.97851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jc w:val="center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Онлайн-платформы для самообучения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jc w:val="center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15%</w:t>
                </w:r>
              </w:p>
            </w:tc>
          </w:tr>
          <w:tr>
            <w:trPr>
              <w:cantSplit w:val="1"/>
              <w:trHeight w:val="462.97851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jc w:val="center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Участие в профессиональных конкурсах, сдача экзаменов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jc w:val="center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14%</w:t>
                </w:r>
              </w:p>
            </w:tc>
          </w:tr>
          <w:tr>
            <w:trPr>
              <w:cantSplit w:val="1"/>
              <w:trHeight w:val="462.97851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jc w:val="center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Внешние курсы повышения квалификации и программы обучения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jc w:val="center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13%</w:t>
                </w:r>
              </w:p>
            </w:tc>
          </w:tr>
          <w:tr>
            <w:trPr>
              <w:cantSplit w:val="1"/>
              <w:trHeight w:val="462.97851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jc w:val="center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Индивидуальные планы развития карьеры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jc w:val="center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13%</w:t>
                </w:r>
              </w:p>
            </w:tc>
          </w:tr>
          <w:tr>
            <w:trPr>
              <w:cantSplit w:val="1"/>
              <w:trHeight w:val="462.97851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jc w:val="center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Программы ротации, стажировки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jc w:val="center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12%</w:t>
                </w:r>
              </w:p>
            </w:tc>
          </w:tr>
          <w:tr>
            <w:trPr>
              <w:cantSplit w:val="1"/>
              <w:trHeight w:val="462.97851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jc w:val="center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Менторство и наставничество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jc w:val="center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12%</w:t>
                </w:r>
              </w:p>
            </w:tc>
          </w:tr>
          <w:tr>
            <w:trPr>
              <w:cantSplit w:val="1"/>
              <w:trHeight w:val="462.97851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jc w:val="center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Финансирование дополнительного образования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jc w:val="center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10%</w:t>
                </w:r>
              </w:p>
            </w:tc>
          </w:tr>
        </w:tbl>
      </w:sdtContent>
    </w:sdt>
    <w:p w:rsidR="00000000" w:rsidDel="00000000" w:rsidP="00000000" w:rsidRDefault="00000000" w:rsidRPr="00000000" w14:paraId="00000024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Результаты опроса показали, что возможности для профессионального развития различаются в зависимости от характера деятельности респондентов. Так, офисным сотрудникам работодатели чаще предлагают внутренние тренинги и семинары (19%), финансирование дополнительного образования (19%), подписки на корпоративные онлайн-платформы для обучения (17%) и участие в профессиональных мероприятиях (15%). В то же время, высококвалифицированный производственный персонал чаще отмечал финансирование дополнительного образования (18%), содействие в подготовке к конкурсам профессионального мастерства, сдаче экзаменов (13%), компенсацию курсов и программ (12%), организацию программ ротации и стажировки (12%),  а также менторство и наставничество внутри компании (11%).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i w:val="1"/>
          <w:color w:val="2021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241888</wp:posOffset>
            </wp:positionV>
            <wp:extent cx="1275878" cy="1138476"/>
            <wp:effectExtent b="0" l="0" r="0" t="0"/>
            <wp:wrapSquare wrapText="bothSides" distB="114300" distT="114300" distL="114300" distR="114300"/>
            <wp:docPr id="7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3599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5878" cy="11384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i w:val="1"/>
          <w:color w:val="202124"/>
          <w:highlight w:val="white"/>
          <w:rtl w:val="0"/>
        </w:rPr>
        <w:t xml:space="preserve">«По данным Авито Работы, в первом полугодии 2024 года количество вакансий с возможностью переобучения выросло в 3,3 раза по сравнению с аналогичным периодом в прошлом году. Причем, чаще всего этот бонус указывался в вакансиях для квалифицированных рабочих сотрудников, включая сварщиков, машинистов и водителей. Наибольший рост предложений о работе с переобучением наблюдается в строительстве — более чем в 4 раза, транспортной сфере и логистике — почти в 3 раза, и производстве — почти в 2 раза. Эти цифры подтверждают позитивную тенденцию к расширению границ найма: работодатели все чаще готовы брать на работу сотрудников без опыта и помогать им в профессиональном росте внутри компании</w:t>
      </w:r>
      <w:r w:rsidDel="00000000" w:rsidR="00000000" w:rsidRPr="00000000">
        <w:rPr>
          <w:i w:val="1"/>
          <w:color w:val="202124"/>
          <w:sz w:val="21"/>
          <w:szCs w:val="21"/>
          <w:highlight w:val="white"/>
          <w:rtl w:val="0"/>
        </w:rPr>
        <w:t xml:space="preserve">»</w:t>
      </w:r>
      <w:r w:rsidDel="00000000" w:rsidR="00000000" w:rsidRPr="00000000">
        <w:rPr>
          <w:i w:val="1"/>
          <w:color w:val="202124"/>
          <w:highlight w:val="white"/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— </w:t>
      </w:r>
      <w:r w:rsidDel="00000000" w:rsidR="00000000" w:rsidRPr="00000000">
        <w:rPr>
          <w:rtl w:val="0"/>
        </w:rPr>
        <w:t xml:space="preserve">комментирует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Роман Губанов, директор по развитию Авито Работы.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bookmarkStart w:colFirst="0" w:colLast="0" w:name="_heading=h.gjdgxs" w:id="0"/>
      <w:bookmarkEnd w:id="0"/>
      <w:r w:rsidDel="00000000" w:rsidR="00000000" w:rsidRPr="00000000">
        <w:rPr>
          <w:i w:val="1"/>
          <w:rtl w:val="0"/>
        </w:rPr>
        <w:t xml:space="preserve">«В связи с активным ростом потребности в персонале на наших производственных площадках, мы активно разрабатываем и внедряем новые внутренние  программы интенсивной подготовки для соискателей без опыта работы. Это позволяет нам обучить и адаптировать новичков в более короткие сроки, а также увеличить количество рассматриваемых потенциальных кандидатов, открыть возможности для молодых специалистов, которым особенно необходима поддержка на первых порах. Такой подход к обучению дает нам возможность в том числе рассматривать кандидатов, желающих сменить профиль деятельности, а кандидатам получить дополнительную квалификацию/профессию. Также ключевую роль в процессе адаптации новых сотрудников играет программа наставничества. Опытные коллеги помогают новичкам быстрее вливаться в коллектив, делятся опытом и знаниями, что значительно облегчает переходный период. Более 20% нашей команды имеют опыт наставничества и это число с каждым годом растет</w:t>
      </w:r>
      <w:r w:rsidDel="00000000" w:rsidR="00000000" w:rsidRPr="00000000">
        <w:rPr>
          <w:i w:val="1"/>
          <w:color w:val="202124"/>
          <w:sz w:val="21"/>
          <w:szCs w:val="21"/>
          <w:highlight w:val="white"/>
          <w:rtl w:val="0"/>
        </w:rPr>
        <w:t xml:space="preserve">»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— комментирует </w:t>
      </w:r>
      <w:r w:rsidDel="00000000" w:rsidR="00000000" w:rsidRPr="00000000">
        <w:rPr>
          <w:b w:val="1"/>
          <w:i w:val="1"/>
          <w:rtl w:val="0"/>
        </w:rPr>
        <w:t xml:space="preserve">Александр Булан, Директор по персоналу LAB Industries.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71438</wp:posOffset>
            </wp:positionH>
            <wp:positionV relativeFrom="paragraph">
              <wp:posOffset>114300</wp:posOffset>
            </wp:positionV>
            <wp:extent cx="1109663" cy="1581150"/>
            <wp:effectExtent b="0" l="0" r="0" t="0"/>
            <wp:wrapSquare wrapText="bothSides" distB="114300" distT="114300" distL="114300" distR="114300"/>
            <wp:docPr id="6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1581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Rule="auto"/>
        <w:jc w:val="both"/>
        <w:rPr>
          <w:b w:val="1"/>
          <w:color w:val="0000ff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Читайте наши новости первыми в Telegram-канале: </w:t>
      </w:r>
      <w:hyperlink r:id="rId11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https://t.me/AvitoLive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 дополнительной информацией, пожалуйста, обращайтесь: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Рената Бочкова, PR Авито Работа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i w:val="1"/>
          <w:color w:val="242424"/>
          <w:sz w:val="20"/>
          <w:szCs w:val="20"/>
          <w:highlight w:val="white"/>
          <w:rtl w:val="0"/>
        </w:rPr>
        <w:t xml:space="preserve">тел.:+79152660816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E-mail: </w:t>
      </w:r>
      <w:hyperlink r:id="rId12">
        <w:r w:rsidDel="00000000" w:rsidR="00000000" w:rsidRPr="00000000">
          <w:rPr>
            <w:i w:val="1"/>
            <w:color w:val="1155cc"/>
            <w:sz w:val="20"/>
            <w:szCs w:val="20"/>
            <w:highlight w:val="white"/>
            <w:u w:val="single"/>
            <w:rtl w:val="0"/>
          </w:rPr>
          <w:t xml:space="preserve">rvbochkova@avito.ru</w:t>
        </w:r>
      </w:hyperlink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before="16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Об Авито Работе</w:t>
      </w:r>
    </w:p>
    <w:p w:rsidR="00000000" w:rsidDel="00000000" w:rsidP="00000000" w:rsidRDefault="00000000" w:rsidRPr="00000000" w14:paraId="00000032">
      <w:pPr>
        <w:spacing w:after="160" w:before="1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Авито Работа — это платформа, предоставляющая возможности для поиска работы и сотрудников. Ежемесячно более 17 млн человек посещают раздел «Работа» на Авито, и это люди самых разных профессий — от курьеров и продавцов до бухгалтеров и строителей. Инструменты Авито облегчают работу с большим количеством вакансий и откликов кандидатов.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highlight w:val="white"/>
          <w:rtl w:val="0"/>
        </w:rPr>
        <w:t xml:space="preserve">За январь 2024 года свои объявления, вакансии и резюме, разместили свыше 2,5 млн человек и компаний.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highlight w:val="white"/>
          <w:rtl w:val="0"/>
        </w:rPr>
        <w:t xml:space="preserve">На сайте зарегистрировались свыше 1,5 млн работодателей, включая представителей среднего и малого бизнеса.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highlight w:val="white"/>
          <w:rtl w:val="0"/>
        </w:rPr>
        <w:t xml:space="preserve">В раздел «Работа» заходит 33,5% посетителей сайта Авито, или примерно 17,6 млн человек в месяц по всей стране.</w:t>
      </w: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111338" cy="714767"/>
          <wp:effectExtent b="0" l="0" r="0" t="0"/>
          <wp:docPr id="7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11338" cy="7147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EB141F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.me/AvitoLive" TargetMode="External"/><Relationship Id="rId10" Type="http://schemas.openxmlformats.org/officeDocument/2006/relationships/image" Target="media/image3.jpg"/><Relationship Id="rId13" Type="http://schemas.openxmlformats.org/officeDocument/2006/relationships/header" Target="header1.xml"/><Relationship Id="rId12" Type="http://schemas.openxmlformats.org/officeDocument/2006/relationships/hyperlink" Target="mailto:rvbochkova@avito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.me/AvitoLive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bvAHq0junpwZ2z7p3mFNGdNrsg==">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2023-06-14T12:59:00Z</dcterms:created>
  <dc:creator>Николай Барсуков</dc:creator>
</cp:coreProperties>
</file>